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52AB0065" w:rsidR="13073A8A" w:rsidRPr="00651562"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2D3B9B">
        <w:t>Administrative Officer (Help to Grow)</w:t>
      </w:r>
    </w:p>
    <w:p w14:paraId="2CDB60D4" w14:textId="52391ED6" w:rsidR="003358DF" w:rsidRDefault="003358DF" w:rsidP="002E5D71">
      <w:pPr>
        <w:spacing w:after="0"/>
        <w:jc w:val="both"/>
        <w:rPr>
          <w:rFonts w:cs="Arial"/>
          <w:b/>
        </w:rPr>
      </w:pPr>
    </w:p>
    <w:p w14:paraId="5D02DF30" w14:textId="092FD2D6" w:rsidR="003358DF" w:rsidRPr="0000422B" w:rsidRDefault="003358DF" w:rsidP="002E5D71">
      <w:pPr>
        <w:spacing w:after="0"/>
        <w:jc w:val="both"/>
        <w:rPr>
          <w:rFonts w:cs="Arial"/>
        </w:rPr>
      </w:pPr>
      <w:r>
        <w:rPr>
          <w:rFonts w:cs="Arial"/>
          <w:b/>
        </w:rPr>
        <w:t>Post number:</w:t>
      </w:r>
      <w:r w:rsidR="0000422B">
        <w:rPr>
          <w:rFonts w:cs="Arial"/>
          <w:b/>
        </w:rPr>
        <w:tab/>
      </w:r>
      <w:r w:rsidR="0000422B">
        <w:rPr>
          <w:rFonts w:cs="Arial"/>
          <w:b/>
        </w:rPr>
        <w:tab/>
      </w:r>
      <w:r w:rsidR="00833414" w:rsidRPr="00833414">
        <w:t>BU5032</w:t>
      </w:r>
    </w:p>
    <w:p w14:paraId="13828407" w14:textId="77777777" w:rsidR="000742F4" w:rsidRDefault="000742F4" w:rsidP="002E5D71">
      <w:pPr>
        <w:spacing w:after="0"/>
        <w:jc w:val="both"/>
        <w:rPr>
          <w:rFonts w:cs="Arial"/>
          <w:b/>
        </w:rPr>
      </w:pPr>
    </w:p>
    <w:p w14:paraId="24F79978" w14:textId="7E27C01A"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6E3FD5" w:rsidRPr="000C231F">
        <w:rPr>
          <w:rFonts w:cs="Arial"/>
          <w:color w:val="000000" w:themeColor="text1"/>
        </w:rPr>
        <w:t>Operations Manager</w:t>
      </w:r>
      <w:r w:rsidR="006E3FD5">
        <w:rPr>
          <w:rFonts w:cs="Arial"/>
          <w:color w:val="000000" w:themeColor="text1"/>
        </w:rPr>
        <w:t xml:space="preserve"> (H2G)</w:t>
      </w:r>
    </w:p>
    <w:p w14:paraId="7DD5C956" w14:textId="77777777" w:rsidR="00177727" w:rsidRPr="0000422B" w:rsidRDefault="00177727" w:rsidP="002E5D71">
      <w:pPr>
        <w:spacing w:after="0"/>
        <w:jc w:val="both"/>
        <w:rPr>
          <w:rFonts w:cs="Arial"/>
          <w:b/>
        </w:rPr>
      </w:pPr>
    </w:p>
    <w:p w14:paraId="6C508887" w14:textId="77777777" w:rsidR="0053503D" w:rsidRPr="000742F4" w:rsidRDefault="7563E393" w:rsidP="0053503D">
      <w:pPr>
        <w:spacing w:after="0"/>
        <w:jc w:val="both"/>
        <w:rPr>
          <w:rFonts w:cs="Arial"/>
        </w:rPr>
      </w:pPr>
      <w:r w:rsidRPr="0FD5A791">
        <w:rPr>
          <w:rFonts w:cs="Arial"/>
          <w:b/>
          <w:bCs/>
        </w:rPr>
        <w:t>Department/School</w:t>
      </w:r>
      <w:r w:rsidR="0000422B">
        <w:rPr>
          <w:rFonts w:cs="Arial"/>
          <w:b/>
          <w:bCs/>
        </w:rPr>
        <w:t>:</w:t>
      </w:r>
      <w:r w:rsidR="0000422B">
        <w:rPr>
          <w:rFonts w:cs="Arial"/>
          <w:b/>
          <w:bCs/>
        </w:rPr>
        <w:tab/>
      </w:r>
      <w:r w:rsidR="0053503D">
        <w:rPr>
          <w:rFonts w:cs="Arial"/>
          <w:bCs/>
        </w:rPr>
        <w:t>School of Business and Law</w:t>
      </w:r>
    </w:p>
    <w:p w14:paraId="3F012CC3" w14:textId="77777777" w:rsidR="002E5D71" w:rsidRPr="000742F4" w:rsidRDefault="002E5D71" w:rsidP="002E5D71">
      <w:pPr>
        <w:spacing w:after="0"/>
        <w:jc w:val="both"/>
        <w:rPr>
          <w:rFonts w:cs="Arial"/>
        </w:rPr>
      </w:pPr>
    </w:p>
    <w:p w14:paraId="7A3C84B6" w14:textId="7951D146"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7545B4">
        <w:t>5</w:t>
      </w:r>
    </w:p>
    <w:p w14:paraId="5E3B2B8C" w14:textId="77777777" w:rsidR="002E5D71" w:rsidRPr="000742F4" w:rsidRDefault="002E5D71" w:rsidP="002E5D71">
      <w:pPr>
        <w:spacing w:after="0"/>
        <w:jc w:val="both"/>
        <w:rPr>
          <w:rFonts w:cs="Arial"/>
        </w:rPr>
      </w:pPr>
    </w:p>
    <w:p w14:paraId="3D6D4833" w14:textId="65F2FA25" w:rsidR="002E5D71" w:rsidRDefault="002E5D71" w:rsidP="00DB4241">
      <w:pPr>
        <w:pStyle w:val="Heading2"/>
      </w:pPr>
      <w:r w:rsidRPr="000742F4">
        <w:t>Purpose of the role</w:t>
      </w:r>
    </w:p>
    <w:p w14:paraId="7D7214A1" w14:textId="611A54D1" w:rsidR="00E36871" w:rsidRPr="00E36871" w:rsidRDefault="00E36871" w:rsidP="00E36871">
      <w:pPr>
        <w:rPr>
          <w:rFonts w:cs="Arial"/>
          <w:bCs/>
        </w:rPr>
      </w:pPr>
      <w:r>
        <w:br/>
      </w:r>
      <w:bookmarkStart w:id="0" w:name="_Hlk129263947"/>
      <w:r>
        <w:rPr>
          <w:rFonts w:cs="Arial"/>
        </w:rPr>
        <w:t>To provide advice and support in relation to the mentoring programme for the Help to Grow Scheme.</w:t>
      </w:r>
      <w:bookmarkEnd w:id="0"/>
    </w:p>
    <w:p w14:paraId="4196CF8E" w14:textId="4840EA87" w:rsidR="003C7741" w:rsidRPr="00B72E93" w:rsidRDefault="003C7741" w:rsidP="003C7741">
      <w:pPr>
        <w:spacing w:after="0"/>
        <w:jc w:val="both"/>
        <w:rPr>
          <w:rFonts w:cs="Arial"/>
          <w:b/>
          <w:i/>
          <w:iCs/>
        </w:rPr>
      </w:pPr>
      <w:r w:rsidRPr="00B72E93">
        <w:rPr>
          <w:rFonts w:cs="Arial"/>
          <w:i/>
          <w:iCs/>
        </w:rPr>
        <w:t xml:space="preserve">Help to grow is a 12-week management course, which includes one to one support from a business mentor and access to an alumni network.  Delivered by business schools, which gained the Small Business Charter (SBC) by the Chartered Association of Business Schools (CABS), courses are running in the leading business schools across the UK.  </w:t>
      </w:r>
    </w:p>
    <w:p w14:paraId="49DD422F" w14:textId="77777777" w:rsidR="00E36871" w:rsidRDefault="00E36871" w:rsidP="00DB4241">
      <w:pPr>
        <w:pStyle w:val="Heading2"/>
      </w:pPr>
    </w:p>
    <w:p w14:paraId="04C15C26" w14:textId="38204AAB" w:rsidR="00707C7F" w:rsidRDefault="00CA6B22" w:rsidP="00DB4241">
      <w:pPr>
        <w:pStyle w:val="Heading2"/>
      </w:pPr>
      <w:r>
        <w:t xml:space="preserve">Line management responsibility for: </w:t>
      </w:r>
      <w:r w:rsidR="003C7741" w:rsidRPr="003C7741">
        <w:rPr>
          <w:b w:val="0"/>
          <w:bCs/>
        </w:rPr>
        <w:t>None</w:t>
      </w:r>
    </w:p>
    <w:p w14:paraId="1FCAFA7F" w14:textId="77777777" w:rsidR="0000273D" w:rsidRPr="0000273D" w:rsidRDefault="0000273D" w:rsidP="00651562"/>
    <w:p w14:paraId="479F2006" w14:textId="42F32626" w:rsidR="006F7241" w:rsidRDefault="006F7241" w:rsidP="0076164E">
      <w:pPr>
        <w:pStyle w:val="Heading2"/>
        <w:rPr>
          <w:rFonts w:cs="Arial"/>
          <w:bCs/>
          <w:szCs w:val="22"/>
        </w:rPr>
      </w:pPr>
      <w:r w:rsidRPr="00CB4CE0">
        <w:rPr>
          <w:rFonts w:cs="Arial"/>
          <w:bCs/>
          <w:szCs w:val="22"/>
        </w:rPr>
        <w:t>Main areas of responsibility:</w:t>
      </w:r>
    </w:p>
    <w:p w14:paraId="050B5D05" w14:textId="77777777" w:rsidR="002B65A5" w:rsidRPr="002B65A5" w:rsidRDefault="002B65A5" w:rsidP="002B65A5">
      <w:pPr>
        <w:pStyle w:val="NoSpacing"/>
      </w:pPr>
    </w:p>
    <w:p w14:paraId="41D8CF4F" w14:textId="77777777" w:rsidR="002B65A5" w:rsidRPr="00532E5D" w:rsidRDefault="002B65A5" w:rsidP="002B65A5">
      <w:pPr>
        <w:numPr>
          <w:ilvl w:val="0"/>
          <w:numId w:val="3"/>
        </w:numPr>
        <w:spacing w:after="0"/>
        <w:textAlignment w:val="center"/>
        <w:rPr>
          <w:rFonts w:cs="Arial"/>
        </w:rPr>
      </w:pPr>
      <w:r w:rsidRPr="00532E5D">
        <w:rPr>
          <w:rFonts w:cs="Arial"/>
        </w:rPr>
        <w:t xml:space="preserve">To work with the Programme Director and Operations Manager (H2G) in the design and implementation of the mentoring programme for the Help to Grow scheme in the School of Business and Law, including </w:t>
      </w:r>
      <w:r w:rsidRPr="00532E5D">
        <w:rPr>
          <w:rFonts w:eastAsia="Times New Roman" w:cs="Arial"/>
          <w:lang w:eastAsia="en-GB"/>
        </w:rPr>
        <w:t>providing up to date relevant programme policy information and updates to the programme managers through attending monthly panel meetings</w:t>
      </w:r>
    </w:p>
    <w:p w14:paraId="3595F1DA" w14:textId="77777777" w:rsidR="002B65A5" w:rsidRPr="00532E5D" w:rsidRDefault="002B65A5" w:rsidP="002B65A5">
      <w:pPr>
        <w:numPr>
          <w:ilvl w:val="0"/>
          <w:numId w:val="3"/>
        </w:numPr>
        <w:spacing w:after="0"/>
        <w:textAlignment w:val="center"/>
        <w:rPr>
          <w:rFonts w:cs="Arial"/>
        </w:rPr>
      </w:pPr>
      <w:r w:rsidRPr="00532E5D">
        <w:rPr>
          <w:rFonts w:cs="Arial"/>
        </w:rPr>
        <w:t>Monitor and report on service standards relating to the mentoring programme particularly in relation to improvements in the service</w:t>
      </w:r>
    </w:p>
    <w:p w14:paraId="546BFE1A" w14:textId="77777777" w:rsidR="002B65A5" w:rsidRPr="00532E5D" w:rsidRDefault="002B65A5" w:rsidP="002B65A5">
      <w:pPr>
        <w:pStyle w:val="ListParagraph"/>
        <w:numPr>
          <w:ilvl w:val="0"/>
          <w:numId w:val="3"/>
        </w:numPr>
        <w:spacing w:after="0"/>
        <w:rPr>
          <w:rFonts w:cs="Arial"/>
        </w:rPr>
      </w:pPr>
      <w:r w:rsidRPr="00532E5D">
        <w:rPr>
          <w:rFonts w:cs="Arial"/>
        </w:rPr>
        <w:t>Working with the Director and the Operations Manager (H2G), determine the resources needed to successfully implement and support the programme</w:t>
      </w:r>
    </w:p>
    <w:p w14:paraId="4E001757" w14:textId="77777777" w:rsidR="002B65A5" w:rsidRPr="002C152A" w:rsidRDefault="002B65A5" w:rsidP="002B65A5">
      <w:pPr>
        <w:numPr>
          <w:ilvl w:val="0"/>
          <w:numId w:val="3"/>
        </w:numPr>
        <w:spacing w:after="0"/>
        <w:textAlignment w:val="center"/>
        <w:rPr>
          <w:rFonts w:eastAsia="Times New Roman" w:cs="Arial"/>
          <w:lang w:eastAsia="en-GB"/>
        </w:rPr>
      </w:pPr>
      <w:r w:rsidRPr="00532E5D">
        <w:rPr>
          <w:rFonts w:eastAsia="Times New Roman" w:cs="Arial"/>
          <w:lang w:eastAsia="en-GB"/>
        </w:rPr>
        <w:t>Overseeing the end-to-end process of expressions of interest, new registrations, onboarding and access to VLE and ensuring relevant discounts/</w:t>
      </w:r>
      <w:proofErr w:type="gramStart"/>
      <w:r w:rsidRPr="00532E5D">
        <w:rPr>
          <w:rFonts w:eastAsia="Times New Roman" w:cs="Arial"/>
          <w:lang w:eastAsia="en-GB"/>
        </w:rPr>
        <w:t>bursary's</w:t>
      </w:r>
      <w:proofErr w:type="gramEnd"/>
      <w:r w:rsidRPr="00532E5D">
        <w:rPr>
          <w:rFonts w:eastAsia="Times New Roman" w:cs="Arial"/>
          <w:lang w:eastAsia="en-GB"/>
        </w:rPr>
        <w:t xml:space="preserve"> are applied</w:t>
      </w:r>
    </w:p>
    <w:p w14:paraId="748C5405" w14:textId="77777777" w:rsidR="002B65A5" w:rsidRPr="00532E5D" w:rsidRDefault="002B65A5" w:rsidP="002B65A5">
      <w:pPr>
        <w:pStyle w:val="ListParagraph"/>
        <w:numPr>
          <w:ilvl w:val="0"/>
          <w:numId w:val="3"/>
        </w:numPr>
        <w:spacing w:after="0"/>
        <w:textAlignment w:val="center"/>
        <w:rPr>
          <w:rFonts w:eastAsia="Times New Roman" w:cs="Arial"/>
          <w:lang w:eastAsia="en-GB"/>
        </w:rPr>
      </w:pPr>
      <w:r w:rsidRPr="00532E5D">
        <w:rPr>
          <w:rFonts w:cs="Arial"/>
        </w:rPr>
        <w:t xml:space="preserve">To administer and to be responsible for the financial aspects of the Help to Grow scheme in the School of Business and Law and ensure that effective systems and controls are in place, including </w:t>
      </w:r>
      <w:r w:rsidRPr="00532E5D">
        <w:rPr>
          <w:rFonts w:eastAsia="Times New Roman" w:cs="Arial"/>
          <w:lang w:eastAsia="en-GB"/>
        </w:rPr>
        <w:t xml:space="preserve">Building the yearly financial forecast to reflect the operations including the delivery team hours and the correct funding, ensuring the </w:t>
      </w:r>
      <w:r w:rsidRPr="00532E5D">
        <w:rPr>
          <w:rFonts w:cs="Arial"/>
        </w:rPr>
        <w:lastRenderedPageBreak/>
        <w:t xml:space="preserve">expenditure is within </w:t>
      </w:r>
      <w:proofErr w:type="gramStart"/>
      <w:r w:rsidRPr="00532E5D">
        <w:rPr>
          <w:rFonts w:cs="Arial"/>
        </w:rPr>
        <w:t>University</w:t>
      </w:r>
      <w:proofErr w:type="gramEnd"/>
      <w:r w:rsidRPr="00532E5D">
        <w:rPr>
          <w:rFonts w:cs="Arial"/>
        </w:rPr>
        <w:t xml:space="preserve"> regulations and also the Help to Grow scheme regulations</w:t>
      </w:r>
    </w:p>
    <w:p w14:paraId="468047D7" w14:textId="77777777" w:rsidR="002B65A5" w:rsidRPr="00532E5D" w:rsidRDefault="002B65A5" w:rsidP="002B65A5">
      <w:pPr>
        <w:pStyle w:val="ListParagraph"/>
        <w:numPr>
          <w:ilvl w:val="0"/>
          <w:numId w:val="3"/>
        </w:numPr>
        <w:spacing w:after="0"/>
        <w:rPr>
          <w:rFonts w:cs="Arial"/>
        </w:rPr>
      </w:pPr>
      <w:r w:rsidRPr="00532E5D">
        <w:rPr>
          <w:rFonts w:cs="Arial"/>
        </w:rPr>
        <w:t xml:space="preserve">To provide budgetary reports for the Programme Director and the Operations Manager (H2G), ensuring income and expenditure for the programme is monitored accurately and any issues </w:t>
      </w:r>
      <w:proofErr w:type="gramStart"/>
      <w:r w:rsidRPr="00532E5D">
        <w:rPr>
          <w:rFonts w:cs="Arial"/>
        </w:rPr>
        <w:t>raised</w:t>
      </w:r>
      <w:proofErr w:type="gramEnd"/>
      <w:r w:rsidRPr="00532E5D">
        <w:rPr>
          <w:rFonts w:cs="Arial"/>
        </w:rPr>
        <w:t xml:space="preserve"> and solutions identified.</w:t>
      </w:r>
    </w:p>
    <w:p w14:paraId="4250DF0B" w14:textId="77777777" w:rsidR="002B65A5" w:rsidRPr="00532E5D" w:rsidRDefault="002B65A5" w:rsidP="002B65A5">
      <w:pPr>
        <w:numPr>
          <w:ilvl w:val="0"/>
          <w:numId w:val="3"/>
        </w:numPr>
        <w:spacing w:after="0"/>
        <w:textAlignment w:val="center"/>
        <w:rPr>
          <w:rFonts w:eastAsia="Times New Roman" w:cs="Arial"/>
          <w:lang w:eastAsia="en-GB"/>
        </w:rPr>
      </w:pPr>
      <w:r w:rsidRPr="00532E5D">
        <w:rPr>
          <w:rFonts w:eastAsia="Times New Roman" w:cs="Arial"/>
          <w:lang w:eastAsia="en-GB"/>
        </w:rPr>
        <w:t>Managing the administration of recruitment events, ensuring bookings are made and marketing opportunities are communicated to marketing officer and Representing Help to Grow at recruitment and Chamber events and recruiting participants onto the programme</w:t>
      </w:r>
    </w:p>
    <w:p w14:paraId="33897DF7" w14:textId="77777777" w:rsidR="002B65A5" w:rsidRPr="00532E5D" w:rsidRDefault="002B65A5" w:rsidP="002B65A5">
      <w:pPr>
        <w:numPr>
          <w:ilvl w:val="0"/>
          <w:numId w:val="3"/>
        </w:numPr>
        <w:spacing w:after="0"/>
        <w:textAlignment w:val="center"/>
        <w:rPr>
          <w:rFonts w:eastAsia="Times New Roman" w:cs="Arial"/>
          <w:lang w:eastAsia="en-GB"/>
        </w:rPr>
      </w:pPr>
      <w:r w:rsidRPr="00532E5D">
        <w:rPr>
          <w:rFonts w:eastAsia="Times New Roman" w:cs="Arial"/>
          <w:lang w:eastAsia="en-GB"/>
        </w:rPr>
        <w:t>Building and maintaining relationships with external partners to promote Help to Grow, such as Hastings Chamber, Let’s do business, Locate East Sussex, the BIPC, East Sussex Growth Hub and East Sussex Council</w:t>
      </w:r>
    </w:p>
    <w:p w14:paraId="3CB245D2" w14:textId="77777777" w:rsidR="002B65A5" w:rsidRPr="00532E5D" w:rsidRDefault="002B65A5" w:rsidP="002B65A5">
      <w:pPr>
        <w:numPr>
          <w:ilvl w:val="0"/>
          <w:numId w:val="3"/>
        </w:numPr>
        <w:spacing w:after="0"/>
        <w:textAlignment w:val="center"/>
        <w:rPr>
          <w:rFonts w:eastAsia="Times New Roman" w:cs="Arial"/>
          <w:lang w:eastAsia="en-GB"/>
        </w:rPr>
      </w:pPr>
      <w:r w:rsidRPr="00532E5D">
        <w:rPr>
          <w:rFonts w:eastAsia="Times New Roman" w:cs="Arial"/>
          <w:lang w:eastAsia="en-GB"/>
        </w:rPr>
        <w:t>Managing the relationship our external mentoring provider, Enterprise Nation and ensuring that participants receive accurate information and support on the processes to find a mentor including managing memberships of external organisations such as chambers of commerce and liaising with the business development team</w:t>
      </w:r>
    </w:p>
    <w:p w14:paraId="449BB612" w14:textId="77777777" w:rsidR="001B10CF" w:rsidRPr="002B65A5" w:rsidRDefault="001B10CF" w:rsidP="002B65A5">
      <w:pPr>
        <w:rPr>
          <w:rFonts w:cs="Arial"/>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26553278" w14:textId="774B1622" w:rsidR="00C82F11" w:rsidRPr="00F906F0" w:rsidRDefault="00C82F11" w:rsidP="00A01A63">
      <w:pPr>
        <w:pStyle w:val="ListParagraph"/>
        <w:numPr>
          <w:ilvl w:val="0"/>
          <w:numId w:val="1"/>
        </w:numPr>
        <w:rPr>
          <w:rFonts w:eastAsia="Times New Roman" w:cs="Arial"/>
          <w:szCs w:val="24"/>
          <w:lang w:eastAsia="en-GB"/>
        </w:rPr>
      </w:pPr>
      <w:r w:rsidRPr="00F906F0">
        <w:rPr>
          <w:rFonts w:eastAsia="Arial" w:cs="Arial"/>
          <w:lang w:eastAsia="en-GB"/>
        </w:rPr>
        <w:t>To work in accordance with</w:t>
      </w:r>
      <w:r w:rsidR="00B66851" w:rsidRPr="00F906F0">
        <w:rPr>
          <w:rFonts w:eastAsia="Arial" w:cs="Arial"/>
          <w:lang w:eastAsia="en-GB"/>
        </w:rPr>
        <w:t xml:space="preserve"> the</w:t>
      </w:r>
      <w:r w:rsidRPr="00F906F0">
        <w:rPr>
          <w:rFonts w:eastAsia="Arial" w:cs="Arial"/>
          <w:lang w:eastAsia="en-GB"/>
        </w:rPr>
        <w:t xml:space="preserve"> </w:t>
      </w:r>
      <w:r w:rsidR="10A1E383" w:rsidRPr="00F906F0">
        <w:rPr>
          <w:rFonts w:eastAsia="Arial" w:cs="Arial"/>
          <w:color w:val="000000" w:themeColor="text1"/>
        </w:rPr>
        <w:t xml:space="preserve">Data Protection Act </w:t>
      </w:r>
      <w:r w:rsidR="5534F542" w:rsidRPr="00F906F0">
        <w:rPr>
          <w:rFonts w:eastAsia="Arial" w:cs="Arial"/>
          <w:color w:val="000000" w:themeColor="text1"/>
        </w:rPr>
        <w:t>2018</w:t>
      </w:r>
      <w:r w:rsidR="3A8642CB" w:rsidRPr="00F906F0">
        <w:rPr>
          <w:rFonts w:eastAsia="Arial" w:cs="Arial"/>
          <w:color w:val="000000" w:themeColor="text1"/>
        </w:rPr>
        <w:t xml:space="preserve"> and UK GD</w:t>
      </w:r>
      <w:r w:rsidR="002F27FD" w:rsidRPr="00F906F0">
        <w:rPr>
          <w:rFonts w:eastAsia="Arial" w:cs="Arial"/>
          <w:color w:val="000000" w:themeColor="text1"/>
        </w:rPr>
        <w:t>P</w:t>
      </w:r>
      <w:r w:rsidR="3A8642CB" w:rsidRPr="00F906F0">
        <w:rPr>
          <w:rFonts w:eastAsia="Arial" w:cs="Arial"/>
          <w:color w:val="000000" w:themeColor="text1"/>
        </w:rPr>
        <w:t>R</w:t>
      </w:r>
    </w:p>
    <w:p w14:paraId="1C0CED81" w14:textId="37839DE1" w:rsidR="006F7241" w:rsidRPr="006B5D4A" w:rsidRDefault="00060811" w:rsidP="006B5D4A">
      <w:pPr>
        <w:pStyle w:val="Heading1"/>
      </w:pPr>
      <w:r>
        <w:t xml:space="preserve">Person </w:t>
      </w:r>
      <w:r w:rsidRPr="00060811">
        <w:t>Specification</w:t>
      </w:r>
    </w:p>
    <w:p w14:paraId="551BFBE2" w14:textId="77777777" w:rsidR="00FB7086" w:rsidRDefault="00FB7086" w:rsidP="00F906F0">
      <w:pPr>
        <w:pStyle w:val="NoSpacing"/>
      </w:pPr>
    </w:p>
    <w:p w14:paraId="35BD4424" w14:textId="5FA2451A"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C4433C">
        <w:rPr>
          <w:rFonts w:cs="Arial"/>
        </w:rPr>
        <w:t xml:space="preserve">are </w:t>
      </w:r>
      <w:r w:rsidR="0036601E">
        <w:rPr>
          <w:rFonts w:cs="Arial"/>
        </w:rPr>
        <w:t>added at the end of the criteri</w:t>
      </w:r>
      <w:r w:rsidR="004161AD">
        <w:rPr>
          <w:rFonts w:cs="Arial"/>
        </w:rPr>
        <w:t>a.</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21"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8316"/>
        <w:gridCol w:w="705"/>
      </w:tblGrid>
      <w:tr w:rsidR="001D06E9" w14:paraId="5510AC4E" w14:textId="6DCA6B9C" w:rsidTr="00B150B7">
        <w:trPr>
          <w:trHeight w:val="543"/>
        </w:trPr>
        <w:tc>
          <w:tcPr>
            <w:tcW w:w="8316" w:type="dxa"/>
          </w:tcPr>
          <w:p w14:paraId="618E5190" w14:textId="77777777" w:rsidR="001D06E9" w:rsidRPr="0046493A" w:rsidRDefault="001D06E9"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1D06E9" w:rsidRPr="0046493A" w:rsidRDefault="001D06E9" w:rsidP="00042F5F">
            <w:pPr>
              <w:rPr>
                <w:rFonts w:cs="Arial"/>
              </w:rPr>
            </w:pPr>
          </w:p>
        </w:tc>
        <w:tc>
          <w:tcPr>
            <w:tcW w:w="705" w:type="dxa"/>
          </w:tcPr>
          <w:p w14:paraId="098F3995" w14:textId="7DDB5889" w:rsidR="001D06E9" w:rsidRPr="0046493A" w:rsidRDefault="00273435" w:rsidP="00980444">
            <w:pPr>
              <w:rPr>
                <w:rFonts w:eastAsiaTheme="minorEastAsia" w:cs="Arial"/>
                <w:b/>
                <w:bCs/>
              </w:rPr>
            </w:pPr>
            <w:proofErr w:type="gramStart"/>
            <w:r>
              <w:rPr>
                <w:rFonts w:eastAsiaTheme="minorEastAsia" w:cs="Arial"/>
                <w:b/>
                <w:bCs/>
              </w:rPr>
              <w:t>A,I</w:t>
            </w:r>
            <w:proofErr w:type="gramEnd"/>
            <w:r>
              <w:rPr>
                <w:rFonts w:eastAsiaTheme="minorEastAsia" w:cs="Arial"/>
                <w:b/>
                <w:bCs/>
              </w:rPr>
              <w:t>,E</w:t>
            </w:r>
          </w:p>
        </w:tc>
      </w:tr>
      <w:tr w:rsidR="001D06E9" w14:paraId="12269380" w14:textId="56A0D0FC" w:rsidTr="00B150B7">
        <w:trPr>
          <w:trHeight w:val="1667"/>
        </w:trPr>
        <w:tc>
          <w:tcPr>
            <w:tcW w:w="8316" w:type="dxa"/>
          </w:tcPr>
          <w:p w14:paraId="222E97B8" w14:textId="124AFC81" w:rsidR="001D06E9" w:rsidRPr="00651562" w:rsidRDefault="001D06E9" w:rsidP="003D5C2E"/>
          <w:p w14:paraId="698ABF23" w14:textId="60B8CD8D" w:rsidR="001D06E9" w:rsidRPr="00D73321" w:rsidRDefault="001D06E9" w:rsidP="003D5C2E">
            <w:pPr>
              <w:pStyle w:val="ListParagraph"/>
              <w:numPr>
                <w:ilvl w:val="0"/>
                <w:numId w:val="2"/>
              </w:numPr>
              <w:rPr>
                <w:rFonts w:eastAsiaTheme="minorEastAsia" w:cs="Arial"/>
                <w:b/>
              </w:rPr>
            </w:pPr>
            <w:r w:rsidRPr="00D73321">
              <w:rPr>
                <w:rFonts w:eastAsiaTheme="minorEastAsia" w:cs="Arial"/>
                <w:bCs/>
              </w:rPr>
              <w:t>Ability to provide high quality administrative support, including financial support and undertake administrative tasks and projects as required</w:t>
            </w:r>
            <w:r w:rsidRPr="00D73321">
              <w:rPr>
                <w:rFonts w:eastAsiaTheme="minorEastAsia" w:cs="Arial"/>
                <w:b/>
              </w:rPr>
              <w:t xml:space="preserve">. </w:t>
            </w:r>
          </w:p>
          <w:p w14:paraId="0AD39E8D" w14:textId="2CB28B24" w:rsidR="001D06E9" w:rsidRPr="00D73321" w:rsidRDefault="001D06E9" w:rsidP="003D5C2E">
            <w:pPr>
              <w:pStyle w:val="ListParagraph"/>
              <w:numPr>
                <w:ilvl w:val="0"/>
                <w:numId w:val="2"/>
              </w:numPr>
              <w:spacing w:line="276" w:lineRule="auto"/>
              <w:rPr>
                <w:rFonts w:eastAsiaTheme="minorEastAsia" w:cs="Arial"/>
                <w:bCs/>
              </w:rPr>
            </w:pPr>
            <w:r w:rsidRPr="00D73321">
              <w:rPr>
                <w:rFonts w:eastAsiaTheme="minorEastAsia" w:cs="Arial"/>
                <w:bCs/>
              </w:rPr>
              <w:t xml:space="preserve">Inter-personal skills to be able to communicate complex information clearly and concisely with others. </w:t>
            </w:r>
          </w:p>
          <w:p w14:paraId="73762BDC" w14:textId="5890B3A7" w:rsidR="001D06E9" w:rsidRPr="00D73321" w:rsidRDefault="001D06E9" w:rsidP="003D5C2E">
            <w:pPr>
              <w:pStyle w:val="ListParagraph"/>
              <w:numPr>
                <w:ilvl w:val="0"/>
                <w:numId w:val="2"/>
              </w:numPr>
              <w:spacing w:line="276" w:lineRule="auto"/>
              <w:rPr>
                <w:rFonts w:eastAsiaTheme="minorEastAsia" w:cs="Arial"/>
                <w:bCs/>
              </w:rPr>
            </w:pPr>
            <w:r w:rsidRPr="00D73321">
              <w:rPr>
                <w:rFonts w:eastAsiaTheme="minorEastAsia" w:cs="Arial"/>
                <w:bCs/>
              </w:rPr>
              <w:t xml:space="preserve">Committed to maintaining confidentiality. </w:t>
            </w:r>
          </w:p>
          <w:p w14:paraId="177D904F" w14:textId="22FE1C6A" w:rsidR="001D06E9" w:rsidRPr="00FB0A79" w:rsidRDefault="001D06E9" w:rsidP="003D5C2E">
            <w:pPr>
              <w:pStyle w:val="ListParagraph"/>
              <w:numPr>
                <w:ilvl w:val="0"/>
                <w:numId w:val="2"/>
              </w:numPr>
              <w:rPr>
                <w:rFonts w:eastAsiaTheme="minorEastAsia" w:cs="Arial"/>
              </w:rPr>
            </w:pPr>
            <w:r w:rsidRPr="00D73321">
              <w:rPr>
                <w:rFonts w:eastAsiaTheme="minorEastAsia" w:cs="Arial"/>
              </w:rPr>
              <w:lastRenderedPageBreak/>
              <w:t>Ability to work on own initiative</w:t>
            </w:r>
            <w:r>
              <w:rPr>
                <w:rFonts w:eastAsiaTheme="minorEastAsia" w:cs="Arial"/>
              </w:rPr>
              <w:t xml:space="preserve">. </w:t>
            </w:r>
          </w:p>
          <w:p w14:paraId="4715E411" w14:textId="6D7EBC59" w:rsidR="001D06E9" w:rsidRPr="00011BC4" w:rsidRDefault="001D06E9" w:rsidP="003D5C2E">
            <w:pPr>
              <w:pStyle w:val="ListParagraph"/>
              <w:numPr>
                <w:ilvl w:val="0"/>
                <w:numId w:val="2"/>
              </w:numPr>
              <w:rPr>
                <w:rFonts w:eastAsiaTheme="minorEastAsia" w:cs="Arial"/>
              </w:rPr>
            </w:pPr>
            <w:r w:rsidRPr="00D11EF5">
              <w:rPr>
                <w:rFonts w:eastAsiaTheme="minorEastAsia" w:cs="Arial"/>
              </w:rPr>
              <w:t>Analytical and organisational skills, together with the ability to identify and schedule priorities and to implement appropriate follow-up actions</w:t>
            </w:r>
            <w:r>
              <w:rPr>
                <w:rFonts w:eastAsiaTheme="minorEastAsia" w:cs="Arial"/>
              </w:rPr>
              <w:t xml:space="preserve">. </w:t>
            </w:r>
          </w:p>
          <w:p w14:paraId="2DDB30F3" w14:textId="2D268CA6" w:rsidR="001D06E9" w:rsidRPr="00497960" w:rsidRDefault="001D06E9" w:rsidP="003D5C2E">
            <w:pPr>
              <w:pStyle w:val="ListParagraph"/>
              <w:numPr>
                <w:ilvl w:val="0"/>
                <w:numId w:val="2"/>
              </w:numPr>
              <w:spacing w:line="276" w:lineRule="auto"/>
              <w:rPr>
                <w:rFonts w:eastAsiaTheme="minorEastAsia" w:cs="Arial"/>
                <w:bCs/>
              </w:rPr>
            </w:pPr>
            <w:r w:rsidRPr="00497960">
              <w:rPr>
                <w:rFonts w:eastAsiaTheme="minorEastAsia" w:cs="Arial"/>
                <w:bCs/>
              </w:rPr>
              <w:t>Committed to continuous self-development</w:t>
            </w:r>
            <w:r>
              <w:rPr>
                <w:rFonts w:eastAsiaTheme="minorEastAsia" w:cs="Arial"/>
                <w:bCs/>
              </w:rPr>
              <w:t xml:space="preserve">. </w:t>
            </w:r>
          </w:p>
          <w:p w14:paraId="4CF1ACC6" w14:textId="3EAA7A67" w:rsidR="001D06E9" w:rsidRPr="00D73321" w:rsidRDefault="001D06E9" w:rsidP="003D5C2E">
            <w:pPr>
              <w:pStyle w:val="ListParagraph"/>
              <w:numPr>
                <w:ilvl w:val="0"/>
                <w:numId w:val="2"/>
              </w:numPr>
              <w:spacing w:line="276" w:lineRule="auto"/>
              <w:rPr>
                <w:rFonts w:eastAsiaTheme="minorEastAsia" w:cs="Arial"/>
                <w:bCs/>
              </w:rPr>
            </w:pPr>
            <w:r w:rsidRPr="00D73321">
              <w:rPr>
                <w:rFonts w:eastAsiaTheme="minorEastAsia" w:cs="Arial"/>
                <w:bCs/>
              </w:rPr>
              <w:t xml:space="preserve">Knowledge of data protection legislation. </w:t>
            </w:r>
          </w:p>
          <w:p w14:paraId="6E7E013E" w14:textId="27F00988" w:rsidR="001D06E9" w:rsidRPr="00D73321" w:rsidRDefault="001D06E9" w:rsidP="003D5C2E">
            <w:pPr>
              <w:pStyle w:val="ListParagraph"/>
              <w:numPr>
                <w:ilvl w:val="0"/>
                <w:numId w:val="2"/>
              </w:numPr>
              <w:spacing w:line="276" w:lineRule="auto"/>
              <w:rPr>
                <w:rFonts w:eastAsiaTheme="minorEastAsia" w:cs="Arial"/>
                <w:bCs/>
              </w:rPr>
            </w:pPr>
            <w:r w:rsidRPr="00D73321">
              <w:rPr>
                <w:rFonts w:eastAsiaTheme="minorEastAsia" w:cs="Arial"/>
                <w:bCs/>
              </w:rPr>
              <w:t xml:space="preserve">Proficiency with the Microsoft suite of packages. </w:t>
            </w:r>
          </w:p>
          <w:p w14:paraId="707F2C1B" w14:textId="0C6940DF" w:rsidR="001D06E9" w:rsidRPr="003D5C2E" w:rsidRDefault="001D06E9" w:rsidP="003D5C2E">
            <w:pPr>
              <w:pStyle w:val="ListParagraph"/>
              <w:numPr>
                <w:ilvl w:val="0"/>
                <w:numId w:val="2"/>
              </w:numPr>
              <w:rPr>
                <w:rFonts w:cs="Arial"/>
              </w:rPr>
            </w:pPr>
            <w:r w:rsidRPr="00D73321">
              <w:rPr>
                <w:rFonts w:eastAsiaTheme="minorEastAsia" w:cs="Arial"/>
                <w:bCs/>
              </w:rPr>
              <w:t>Proficient in the use of database management software.</w:t>
            </w:r>
            <w:r>
              <w:rPr>
                <w:rFonts w:eastAsiaTheme="minorEastAsia" w:cs="Arial"/>
                <w:bCs/>
              </w:rPr>
              <w:t xml:space="preserve"> </w:t>
            </w:r>
          </w:p>
          <w:p w14:paraId="0439CF25" w14:textId="3AAF37ED" w:rsidR="001D06E9" w:rsidRPr="003D5C2E" w:rsidRDefault="001D06E9" w:rsidP="003D5C2E">
            <w:pPr>
              <w:rPr>
                <w:rFonts w:cs="Arial"/>
              </w:rPr>
            </w:pPr>
          </w:p>
          <w:p w14:paraId="7BAF1BE7" w14:textId="77777777" w:rsidR="001D06E9" w:rsidRPr="00651562" w:rsidRDefault="001D06E9" w:rsidP="00042F5F">
            <w:pPr>
              <w:rPr>
                <w:rFonts w:cs="Arial"/>
              </w:rPr>
            </w:pPr>
          </w:p>
        </w:tc>
        <w:tc>
          <w:tcPr>
            <w:tcW w:w="705" w:type="dxa"/>
          </w:tcPr>
          <w:p w14:paraId="444F8493" w14:textId="1A21593D" w:rsidR="001D06E9" w:rsidRDefault="00273435" w:rsidP="003D5C2E">
            <w:pPr>
              <w:rPr>
                <w:rFonts w:eastAsiaTheme="minorEastAsia" w:cs="Arial"/>
                <w:b/>
              </w:rPr>
            </w:pPr>
            <w:r>
              <w:lastRenderedPageBreak/>
              <w:br/>
            </w:r>
            <w:proofErr w:type="gramStart"/>
            <w:r>
              <w:rPr>
                <w:rFonts w:eastAsiaTheme="minorEastAsia" w:cs="Arial"/>
                <w:b/>
              </w:rPr>
              <w:t>A,I</w:t>
            </w:r>
            <w:proofErr w:type="gramEnd"/>
            <w:r>
              <w:rPr>
                <w:rFonts w:eastAsiaTheme="minorEastAsia" w:cs="Arial"/>
                <w:b/>
              </w:rPr>
              <w:br/>
            </w:r>
            <w:r>
              <w:rPr>
                <w:rFonts w:eastAsiaTheme="minorEastAsia" w:cs="Arial"/>
                <w:b/>
              </w:rPr>
              <w:br/>
            </w:r>
            <w:r>
              <w:rPr>
                <w:rFonts w:eastAsiaTheme="minorEastAsia" w:cs="Arial"/>
                <w:b/>
              </w:rPr>
              <w:br/>
            </w:r>
            <w:r>
              <w:rPr>
                <w:rFonts w:eastAsiaTheme="minorEastAsia" w:cs="Arial"/>
                <w:b/>
              </w:rPr>
              <w:t>I</w:t>
            </w:r>
            <w:r>
              <w:rPr>
                <w:rFonts w:eastAsiaTheme="minorEastAsia" w:cs="Arial"/>
                <w:b/>
              </w:rPr>
              <w:br/>
            </w:r>
            <w:r>
              <w:br/>
            </w:r>
            <w:r>
              <w:rPr>
                <w:rFonts w:eastAsiaTheme="minorEastAsia" w:cs="Arial"/>
                <w:b/>
              </w:rPr>
              <w:t>A</w:t>
            </w:r>
            <w:r>
              <w:rPr>
                <w:rFonts w:eastAsiaTheme="minorEastAsia" w:cs="Arial"/>
                <w:b/>
              </w:rPr>
              <w:br/>
            </w:r>
            <w:r>
              <w:rPr>
                <w:rFonts w:eastAsiaTheme="minorEastAsia" w:cs="Arial"/>
                <w:b/>
              </w:rPr>
              <w:lastRenderedPageBreak/>
              <w:t>A,I</w:t>
            </w:r>
            <w:r>
              <w:br/>
            </w:r>
            <w:r>
              <w:br/>
            </w:r>
            <w:r>
              <w:rPr>
                <w:rFonts w:eastAsiaTheme="minorEastAsia" w:cs="Arial"/>
                <w:b/>
              </w:rPr>
              <w:t>A,</w:t>
            </w:r>
            <w:r>
              <w:rPr>
                <w:rFonts w:eastAsiaTheme="minorEastAsia" w:cs="Arial"/>
                <w:b/>
              </w:rPr>
              <w:t>E</w:t>
            </w:r>
            <w:r>
              <w:rPr>
                <w:rFonts w:eastAsiaTheme="minorEastAsia" w:cs="Arial"/>
                <w:b/>
              </w:rPr>
              <w:br/>
            </w:r>
            <w:r>
              <w:rPr>
                <w:rFonts w:eastAsiaTheme="minorEastAsia" w:cs="Arial"/>
                <w:b/>
              </w:rPr>
              <w:t>A</w:t>
            </w:r>
            <w:r>
              <w:rPr>
                <w:rFonts w:eastAsiaTheme="minorEastAsia" w:cs="Arial"/>
                <w:b/>
              </w:rPr>
              <w:br/>
            </w:r>
            <w:r w:rsidR="00D73321">
              <w:rPr>
                <w:rFonts w:eastAsiaTheme="minorEastAsia" w:cs="Arial"/>
                <w:b/>
              </w:rPr>
              <w:t>A</w:t>
            </w:r>
            <w:r>
              <w:br/>
            </w:r>
            <w:r>
              <w:rPr>
                <w:rFonts w:eastAsiaTheme="minorEastAsia" w:cs="Arial"/>
                <w:b/>
              </w:rPr>
              <w:t>A,</w:t>
            </w:r>
            <w:r>
              <w:rPr>
                <w:rFonts w:eastAsiaTheme="minorEastAsia" w:cs="Arial"/>
                <w:b/>
              </w:rPr>
              <w:t>E</w:t>
            </w:r>
            <w:r>
              <w:rPr>
                <w:rFonts w:eastAsiaTheme="minorEastAsia" w:cs="Arial"/>
                <w:b/>
              </w:rPr>
              <w:br/>
            </w:r>
            <w:r>
              <w:rPr>
                <w:rFonts w:eastAsiaTheme="minorEastAsia" w:cs="Arial"/>
                <w:b/>
              </w:rPr>
              <w:t>A</w:t>
            </w:r>
          </w:p>
          <w:p w14:paraId="727E34CD" w14:textId="3CEABFC8" w:rsidR="00273435" w:rsidRPr="00651562" w:rsidRDefault="00273435" w:rsidP="003D5C2E"/>
        </w:tc>
      </w:tr>
      <w:tr w:rsidR="001D06E9" w14:paraId="41777F18" w14:textId="6EBC93D5" w:rsidTr="00B150B7">
        <w:trPr>
          <w:trHeight w:val="144"/>
        </w:trPr>
        <w:tc>
          <w:tcPr>
            <w:tcW w:w="8316" w:type="dxa"/>
          </w:tcPr>
          <w:p w14:paraId="6F418AE9" w14:textId="77777777" w:rsidR="001D06E9" w:rsidRPr="0046493A" w:rsidRDefault="001D06E9" w:rsidP="00980444">
            <w:pPr>
              <w:rPr>
                <w:rFonts w:cs="Arial"/>
                <w:b/>
              </w:rPr>
            </w:pPr>
            <w:r w:rsidRPr="0046493A">
              <w:rPr>
                <w:rFonts w:cs="Arial"/>
                <w:b/>
              </w:rPr>
              <w:lastRenderedPageBreak/>
              <w:t>Qualifications</w:t>
            </w:r>
          </w:p>
          <w:p w14:paraId="2D0E3DC9" w14:textId="77777777" w:rsidR="001D06E9" w:rsidRPr="0046493A" w:rsidRDefault="001D06E9" w:rsidP="00042F5F">
            <w:pPr>
              <w:rPr>
                <w:rFonts w:cs="Arial"/>
              </w:rPr>
            </w:pPr>
          </w:p>
        </w:tc>
        <w:tc>
          <w:tcPr>
            <w:tcW w:w="705" w:type="dxa"/>
          </w:tcPr>
          <w:p w14:paraId="538039DB" w14:textId="0515C3A9" w:rsidR="001D06E9" w:rsidRPr="0046493A" w:rsidRDefault="001F3B7D" w:rsidP="00980444">
            <w:pPr>
              <w:rPr>
                <w:rFonts w:cs="Arial"/>
                <w:b/>
              </w:rPr>
            </w:pPr>
            <w:proofErr w:type="gramStart"/>
            <w:r>
              <w:rPr>
                <w:rFonts w:eastAsiaTheme="minorEastAsia" w:cs="Arial"/>
                <w:b/>
                <w:bCs/>
              </w:rPr>
              <w:t>A,I</w:t>
            </w:r>
            <w:proofErr w:type="gramEnd"/>
            <w:r>
              <w:rPr>
                <w:rFonts w:eastAsiaTheme="minorEastAsia" w:cs="Arial"/>
                <w:b/>
                <w:bCs/>
              </w:rPr>
              <w:t>,E</w:t>
            </w:r>
          </w:p>
        </w:tc>
      </w:tr>
      <w:tr w:rsidR="001D06E9" w14:paraId="637542B5" w14:textId="79385A8D" w:rsidTr="00B150B7">
        <w:trPr>
          <w:trHeight w:val="144"/>
        </w:trPr>
        <w:tc>
          <w:tcPr>
            <w:tcW w:w="8316" w:type="dxa"/>
          </w:tcPr>
          <w:p w14:paraId="6D5E899F" w14:textId="1901CCFB" w:rsidR="001D06E9" w:rsidRPr="00DF5C47" w:rsidRDefault="001D06E9" w:rsidP="00DF5C47">
            <w:pPr>
              <w:pStyle w:val="ListParagraph"/>
              <w:numPr>
                <w:ilvl w:val="0"/>
                <w:numId w:val="36"/>
              </w:numPr>
              <w:rPr>
                <w:rFonts w:eastAsiaTheme="minorEastAsia" w:cs="Arial"/>
                <w:bCs/>
              </w:rPr>
            </w:pPr>
            <w:r w:rsidRPr="00DF5C47">
              <w:rPr>
                <w:rFonts w:eastAsiaTheme="minorEastAsia" w:cs="Arial"/>
                <w:bCs/>
              </w:rPr>
              <w:t xml:space="preserve">No </w:t>
            </w:r>
            <w:proofErr w:type="gramStart"/>
            <w:r w:rsidRPr="00DF5C47">
              <w:rPr>
                <w:rFonts w:eastAsiaTheme="minorEastAsia" w:cs="Arial"/>
                <w:bCs/>
              </w:rPr>
              <w:t>particular qualifications</w:t>
            </w:r>
            <w:proofErr w:type="gramEnd"/>
            <w:r w:rsidRPr="00DF5C47">
              <w:rPr>
                <w:rFonts w:eastAsiaTheme="minorEastAsia" w:cs="Arial"/>
                <w:bCs/>
              </w:rPr>
              <w:t xml:space="preserve"> are required for this role</w:t>
            </w:r>
            <w:r>
              <w:rPr>
                <w:rFonts w:eastAsiaTheme="minorEastAsia" w:cs="Arial"/>
                <w:bCs/>
              </w:rPr>
              <w:t>.</w:t>
            </w:r>
          </w:p>
          <w:p w14:paraId="20538C45" w14:textId="77777777" w:rsidR="001D06E9" w:rsidRPr="0046493A" w:rsidRDefault="001D06E9" w:rsidP="00DF5C47">
            <w:pPr>
              <w:rPr>
                <w:rFonts w:cs="Arial"/>
              </w:rPr>
            </w:pPr>
          </w:p>
        </w:tc>
        <w:tc>
          <w:tcPr>
            <w:tcW w:w="705" w:type="dxa"/>
          </w:tcPr>
          <w:p w14:paraId="01F6C4D1" w14:textId="0526885B" w:rsidR="001D06E9" w:rsidRPr="00273435" w:rsidRDefault="001D06E9" w:rsidP="00273435">
            <w:pPr>
              <w:rPr>
                <w:rFonts w:eastAsiaTheme="minorEastAsia" w:cs="Arial"/>
                <w:bCs/>
              </w:rPr>
            </w:pPr>
          </w:p>
        </w:tc>
      </w:tr>
      <w:tr w:rsidR="001D06E9" w14:paraId="4E5F4476" w14:textId="72E9477C" w:rsidTr="00B150B7">
        <w:trPr>
          <w:trHeight w:val="423"/>
        </w:trPr>
        <w:tc>
          <w:tcPr>
            <w:tcW w:w="8316" w:type="dxa"/>
          </w:tcPr>
          <w:p w14:paraId="51E005B5" w14:textId="28430D72" w:rsidR="001D06E9" w:rsidRPr="001F3B7D" w:rsidRDefault="001D06E9" w:rsidP="00DF5C47">
            <w:pPr>
              <w:rPr>
                <w:rFonts w:cs="Arial"/>
                <w:b/>
              </w:rPr>
            </w:pPr>
            <w:r w:rsidRPr="0046493A">
              <w:rPr>
                <w:rFonts w:cs="Arial"/>
                <w:b/>
              </w:rPr>
              <w:t>Experience</w:t>
            </w:r>
          </w:p>
        </w:tc>
        <w:tc>
          <w:tcPr>
            <w:tcW w:w="705" w:type="dxa"/>
          </w:tcPr>
          <w:p w14:paraId="7A685DC7" w14:textId="3BC67211" w:rsidR="00273435" w:rsidRPr="0046493A" w:rsidRDefault="001F3B7D" w:rsidP="00DF5C47">
            <w:pPr>
              <w:rPr>
                <w:rFonts w:cs="Arial"/>
                <w:b/>
              </w:rPr>
            </w:pPr>
            <w:proofErr w:type="gramStart"/>
            <w:r>
              <w:rPr>
                <w:rFonts w:eastAsiaTheme="minorEastAsia" w:cs="Arial"/>
                <w:b/>
                <w:bCs/>
              </w:rPr>
              <w:t>A,I</w:t>
            </w:r>
            <w:proofErr w:type="gramEnd"/>
            <w:r>
              <w:rPr>
                <w:rFonts w:eastAsiaTheme="minorEastAsia" w:cs="Arial"/>
                <w:b/>
                <w:bCs/>
              </w:rPr>
              <w:t>,E</w:t>
            </w:r>
          </w:p>
        </w:tc>
      </w:tr>
      <w:tr w:rsidR="001D06E9" w14:paraId="6BF59B7C" w14:textId="10E28445" w:rsidTr="00B150B7">
        <w:trPr>
          <w:trHeight w:val="144"/>
        </w:trPr>
        <w:tc>
          <w:tcPr>
            <w:tcW w:w="8316" w:type="dxa"/>
          </w:tcPr>
          <w:p w14:paraId="30BFEC17" w14:textId="7AB79941" w:rsidR="001D06E9" w:rsidRPr="00D73321" w:rsidRDefault="001D06E9" w:rsidP="004F7531">
            <w:pPr>
              <w:pStyle w:val="ListParagraph"/>
              <w:numPr>
                <w:ilvl w:val="0"/>
                <w:numId w:val="2"/>
              </w:numPr>
              <w:rPr>
                <w:rFonts w:eastAsiaTheme="minorEastAsia" w:cs="Arial"/>
                <w:bCs/>
              </w:rPr>
            </w:pPr>
            <w:r w:rsidRPr="00D73321">
              <w:rPr>
                <w:rFonts w:eastAsiaTheme="minorEastAsia" w:cs="Arial"/>
                <w:bCs/>
              </w:rPr>
              <w:t>Experience of project planning and administration.</w:t>
            </w:r>
          </w:p>
          <w:p w14:paraId="4DD109C5" w14:textId="54A4BC2F" w:rsidR="001D06E9" w:rsidRPr="00D73321" w:rsidRDefault="001D06E9" w:rsidP="004F7531">
            <w:pPr>
              <w:pStyle w:val="ListParagraph"/>
              <w:numPr>
                <w:ilvl w:val="0"/>
                <w:numId w:val="2"/>
              </w:numPr>
              <w:rPr>
                <w:rFonts w:eastAsiaTheme="minorEastAsia" w:cs="Arial"/>
                <w:bCs/>
              </w:rPr>
            </w:pPr>
            <w:r w:rsidRPr="00D73321">
              <w:rPr>
                <w:rFonts w:eastAsiaTheme="minorEastAsia" w:cs="Arial"/>
                <w:bCs/>
              </w:rPr>
              <w:t xml:space="preserve">Has experience in resolving queries or problems. </w:t>
            </w:r>
          </w:p>
          <w:p w14:paraId="6770A09F" w14:textId="4259202F" w:rsidR="001D06E9" w:rsidRPr="00D73321" w:rsidRDefault="001D06E9" w:rsidP="004F7531">
            <w:pPr>
              <w:pStyle w:val="ListParagraph"/>
              <w:numPr>
                <w:ilvl w:val="0"/>
                <w:numId w:val="2"/>
              </w:numPr>
              <w:rPr>
                <w:rFonts w:eastAsiaTheme="minorEastAsia" w:cs="Arial"/>
                <w:bCs/>
              </w:rPr>
            </w:pPr>
            <w:r w:rsidRPr="00D73321">
              <w:rPr>
                <w:rFonts w:eastAsiaTheme="minorEastAsia" w:cs="Arial"/>
                <w:bCs/>
              </w:rPr>
              <w:t xml:space="preserve">Experience of planning and </w:t>
            </w:r>
            <w:proofErr w:type="spellStart"/>
            <w:r w:rsidRPr="00D73321">
              <w:rPr>
                <w:rFonts w:eastAsiaTheme="minorEastAsia" w:cs="Arial"/>
                <w:bCs/>
              </w:rPr>
              <w:t>priortising</w:t>
            </w:r>
            <w:proofErr w:type="spellEnd"/>
            <w:r w:rsidRPr="00D73321">
              <w:rPr>
                <w:rFonts w:eastAsiaTheme="minorEastAsia" w:cs="Arial"/>
                <w:bCs/>
              </w:rPr>
              <w:t xml:space="preserve"> work effectively, judging the relative importance of conflicting demands without recourse to others. </w:t>
            </w:r>
          </w:p>
          <w:p w14:paraId="66CED205" w14:textId="03367E30" w:rsidR="001D06E9" w:rsidRPr="00D73321" w:rsidRDefault="001D06E9" w:rsidP="004F7531">
            <w:pPr>
              <w:pStyle w:val="ListParagraph"/>
              <w:numPr>
                <w:ilvl w:val="0"/>
                <w:numId w:val="2"/>
              </w:numPr>
              <w:rPr>
                <w:rFonts w:eastAsiaTheme="minorEastAsia" w:cs="Arial"/>
                <w:bCs/>
              </w:rPr>
            </w:pPr>
            <w:r w:rsidRPr="00D73321">
              <w:rPr>
                <w:rFonts w:eastAsiaTheme="minorEastAsia" w:cs="Arial"/>
                <w:bCs/>
              </w:rPr>
              <w:t xml:space="preserve">Experience of planning ahead and setting milestones to ensure objectives are met. </w:t>
            </w:r>
          </w:p>
          <w:p w14:paraId="275BF6FD" w14:textId="71F37F23" w:rsidR="001D06E9" w:rsidRPr="00D73321" w:rsidRDefault="001D06E9" w:rsidP="004F7531">
            <w:pPr>
              <w:pStyle w:val="ListParagraph"/>
              <w:numPr>
                <w:ilvl w:val="0"/>
                <w:numId w:val="2"/>
              </w:numPr>
              <w:rPr>
                <w:rFonts w:eastAsiaTheme="minorEastAsia" w:cs="Arial"/>
                <w:bCs/>
              </w:rPr>
            </w:pPr>
            <w:r w:rsidRPr="00D73321">
              <w:rPr>
                <w:rFonts w:eastAsiaTheme="minorEastAsia" w:cs="Arial"/>
                <w:bCs/>
              </w:rPr>
              <w:t xml:space="preserve">Experience of presenting financial information in </w:t>
            </w:r>
            <w:proofErr w:type="gramStart"/>
            <w:r w:rsidRPr="00D73321">
              <w:rPr>
                <w:rFonts w:eastAsiaTheme="minorEastAsia" w:cs="Arial"/>
                <w:bCs/>
              </w:rPr>
              <w:t>an</w:t>
            </w:r>
            <w:proofErr w:type="gramEnd"/>
            <w:r w:rsidRPr="00D73321">
              <w:rPr>
                <w:rFonts w:eastAsiaTheme="minorEastAsia" w:cs="Arial"/>
                <w:bCs/>
              </w:rPr>
              <w:t xml:space="preserve"> clear, concise way for a range of audiences, including those with no financial experience. </w:t>
            </w:r>
          </w:p>
          <w:p w14:paraId="37D23A4F" w14:textId="77777777" w:rsidR="001D06E9" w:rsidRPr="0046493A" w:rsidRDefault="001D06E9" w:rsidP="00DF5C47">
            <w:pPr>
              <w:rPr>
                <w:rFonts w:cs="Arial"/>
              </w:rPr>
            </w:pPr>
          </w:p>
        </w:tc>
        <w:tc>
          <w:tcPr>
            <w:tcW w:w="705" w:type="dxa"/>
          </w:tcPr>
          <w:p w14:paraId="5CF910F9" w14:textId="3DD38C9B" w:rsidR="001D06E9" w:rsidRPr="00273435" w:rsidRDefault="00273435" w:rsidP="00273435">
            <w:pPr>
              <w:rPr>
                <w:rFonts w:eastAsiaTheme="minorEastAsia" w:cs="Arial"/>
                <w:bCs/>
                <w:highlight w:val="yellow"/>
              </w:rPr>
            </w:pPr>
            <w:proofErr w:type="gramStart"/>
            <w:r>
              <w:rPr>
                <w:rFonts w:eastAsiaTheme="minorEastAsia" w:cs="Arial"/>
                <w:b/>
              </w:rPr>
              <w:t>A,I</w:t>
            </w:r>
            <w:proofErr w:type="gramEnd"/>
            <w:r>
              <w:rPr>
                <w:rFonts w:eastAsiaTheme="minorEastAsia" w:cs="Arial"/>
                <w:b/>
              </w:rPr>
              <w:br/>
            </w:r>
            <w:r>
              <w:rPr>
                <w:rFonts w:eastAsiaTheme="minorEastAsia" w:cs="Arial"/>
                <w:b/>
              </w:rPr>
              <w:t>A,I</w:t>
            </w:r>
            <w:r>
              <w:rPr>
                <w:rFonts w:eastAsiaTheme="minorEastAsia" w:cs="Arial"/>
                <w:bCs/>
                <w:highlight w:val="yellow"/>
              </w:rPr>
              <w:br/>
            </w:r>
            <w:r>
              <w:rPr>
                <w:rFonts w:eastAsiaTheme="minorEastAsia" w:cs="Arial"/>
                <w:bCs/>
                <w:highlight w:val="yellow"/>
              </w:rPr>
              <w:br/>
            </w:r>
            <w:proofErr w:type="spellStart"/>
            <w:r>
              <w:rPr>
                <w:rFonts w:eastAsiaTheme="minorEastAsia" w:cs="Arial"/>
                <w:b/>
              </w:rPr>
              <w:t>A,I</w:t>
            </w:r>
            <w:proofErr w:type="spellEnd"/>
            <w:r>
              <w:rPr>
                <w:rFonts w:eastAsiaTheme="minorEastAsia" w:cs="Arial"/>
                <w:b/>
              </w:rPr>
              <w:br/>
            </w:r>
            <w:r>
              <w:rPr>
                <w:rFonts w:eastAsiaTheme="minorEastAsia" w:cs="Arial"/>
                <w:bCs/>
                <w:highlight w:val="yellow"/>
              </w:rPr>
              <w:br/>
            </w:r>
            <w:proofErr w:type="spellStart"/>
            <w:r>
              <w:rPr>
                <w:rFonts w:eastAsiaTheme="minorEastAsia" w:cs="Arial"/>
                <w:b/>
              </w:rPr>
              <w:t>A,I</w:t>
            </w:r>
            <w:proofErr w:type="spellEnd"/>
            <w:r>
              <w:rPr>
                <w:rFonts w:eastAsiaTheme="minorEastAsia" w:cs="Arial"/>
                <w:b/>
              </w:rPr>
              <w:br/>
            </w:r>
            <w:r>
              <w:rPr>
                <w:rFonts w:eastAsiaTheme="minorEastAsia" w:cs="Arial"/>
                <w:bCs/>
                <w:highlight w:val="yellow"/>
              </w:rPr>
              <w:br/>
            </w:r>
            <w:r>
              <w:rPr>
                <w:rFonts w:eastAsiaTheme="minorEastAsia" w:cs="Arial"/>
                <w:b/>
              </w:rPr>
              <w:t>A,</w:t>
            </w:r>
            <w:r>
              <w:rPr>
                <w:rFonts w:eastAsiaTheme="minorEastAsia" w:cs="Arial"/>
                <w:b/>
              </w:rPr>
              <w:t>E</w:t>
            </w:r>
          </w:p>
        </w:tc>
      </w:tr>
    </w:tbl>
    <w:p w14:paraId="0CCDC29A" w14:textId="77777777" w:rsidR="00B150B7" w:rsidRDefault="00B150B7" w:rsidP="00651562"/>
    <w:p w14:paraId="370021B7" w14:textId="456347FE" w:rsidR="006F7241" w:rsidRPr="00651562" w:rsidRDefault="004B39AB" w:rsidP="00651562">
      <w:r w:rsidRPr="00651562">
        <w:t xml:space="preserve"> </w:t>
      </w:r>
    </w:p>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3A788C6E"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259FC105" w14:textId="77777777" w:rsidR="00C325CB" w:rsidRDefault="00C325CB" w:rsidP="00C325CB">
      <w:pPr>
        <w:pStyle w:val="ListParagraph"/>
        <w:numPr>
          <w:ilvl w:val="0"/>
          <w:numId w:val="2"/>
        </w:numPr>
        <w:spacing w:after="0"/>
        <w:jc w:val="both"/>
        <w:rPr>
          <w:rFonts w:cs="Arial"/>
        </w:rPr>
      </w:pPr>
      <w:r>
        <w:rPr>
          <w:rFonts w:cs="Arial"/>
        </w:rPr>
        <w:t>The role is full time and fixed term for 2 years.</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lastRenderedPageBreak/>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44456CC6" w14:textId="77777777" w:rsidR="00E027E3" w:rsidRPr="00E027E3" w:rsidRDefault="00E027E3" w:rsidP="00E027E3"/>
    <w:p w14:paraId="4B02C338" w14:textId="3D3816DC" w:rsidR="00E027E3" w:rsidRPr="00E027E3" w:rsidRDefault="005A4991" w:rsidP="00E027E3">
      <w:r w:rsidRPr="00B66851">
        <w:rPr>
          <w:rFonts w:cs="Arial"/>
        </w:rPr>
        <w:t>Date:</w:t>
      </w:r>
      <w:r w:rsidR="00545A06">
        <w:rPr>
          <w:rFonts w:cs="Arial"/>
        </w:rPr>
        <w:t xml:space="preserve">  </w:t>
      </w:r>
      <w:r w:rsidR="00757547">
        <w:rPr>
          <w:rFonts w:cs="Arial"/>
          <w:b/>
        </w:rPr>
        <w:t>February 2023</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A503" w14:textId="77777777" w:rsidR="00C92C97" w:rsidRDefault="00C92C97" w:rsidP="000742F4">
      <w:pPr>
        <w:spacing w:after="0" w:line="240" w:lineRule="auto"/>
      </w:pPr>
      <w:r>
        <w:separator/>
      </w:r>
    </w:p>
  </w:endnote>
  <w:endnote w:type="continuationSeparator" w:id="0">
    <w:p w14:paraId="377E48F1" w14:textId="77777777" w:rsidR="00C92C97" w:rsidRDefault="00C92C97" w:rsidP="000742F4">
      <w:pPr>
        <w:spacing w:after="0" w:line="240" w:lineRule="auto"/>
      </w:pPr>
      <w:r>
        <w:continuationSeparator/>
      </w:r>
    </w:p>
  </w:endnote>
  <w:endnote w:type="continuationNotice" w:id="1">
    <w:p w14:paraId="4365AD74" w14:textId="77777777" w:rsidR="00C92C97" w:rsidRDefault="00C92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8C81" w14:textId="77777777" w:rsidR="00C92C97" w:rsidRDefault="00C92C97" w:rsidP="000742F4">
      <w:pPr>
        <w:spacing w:after="0" w:line="240" w:lineRule="auto"/>
      </w:pPr>
      <w:r>
        <w:separator/>
      </w:r>
    </w:p>
  </w:footnote>
  <w:footnote w:type="continuationSeparator" w:id="0">
    <w:p w14:paraId="68D3F1B7" w14:textId="77777777" w:rsidR="00C92C97" w:rsidRDefault="00C92C97" w:rsidP="000742F4">
      <w:pPr>
        <w:spacing w:after="0" w:line="240" w:lineRule="auto"/>
      </w:pPr>
      <w:r>
        <w:continuationSeparator/>
      </w:r>
    </w:p>
  </w:footnote>
  <w:footnote w:type="continuationNotice" w:id="1">
    <w:p w14:paraId="0E5EC9D2" w14:textId="77777777" w:rsidR="00C92C97" w:rsidRDefault="00C92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0950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9A846DA"/>
    <w:multiLevelType w:val="hybridMultilevel"/>
    <w:tmpl w:val="985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0"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1"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4"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5"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8"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9"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1"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2"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3"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0"/>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4"/>
  </w:num>
  <w:num w:numId="7" w16cid:durableId="2140952195">
    <w:abstractNumId w:val="27"/>
  </w:num>
  <w:num w:numId="8" w16cid:durableId="2103794398">
    <w:abstractNumId w:val="30"/>
  </w:num>
  <w:num w:numId="9" w16cid:durableId="487213472">
    <w:abstractNumId w:val="7"/>
  </w:num>
  <w:num w:numId="10" w16cid:durableId="736173792">
    <w:abstractNumId w:val="11"/>
  </w:num>
  <w:num w:numId="11" w16cid:durableId="1810324212">
    <w:abstractNumId w:val="28"/>
  </w:num>
  <w:num w:numId="12" w16cid:durableId="167526494">
    <w:abstractNumId w:val="15"/>
  </w:num>
  <w:num w:numId="13" w16cid:durableId="331955977">
    <w:abstractNumId w:val="4"/>
  </w:num>
  <w:num w:numId="14" w16cid:durableId="1687554260">
    <w:abstractNumId w:val="31"/>
  </w:num>
  <w:num w:numId="15" w16cid:durableId="2095930424">
    <w:abstractNumId w:val="21"/>
  </w:num>
  <w:num w:numId="16" w16cid:durableId="126095913">
    <w:abstractNumId w:val="16"/>
  </w:num>
  <w:num w:numId="17" w16cid:durableId="927929742">
    <w:abstractNumId w:val="1"/>
  </w:num>
  <w:num w:numId="18" w16cid:durableId="895823366">
    <w:abstractNumId w:val="19"/>
  </w:num>
  <w:num w:numId="19" w16cid:durableId="44188083">
    <w:abstractNumId w:val="24"/>
  </w:num>
  <w:num w:numId="20" w16cid:durableId="1444614916">
    <w:abstractNumId w:val="35"/>
  </w:num>
  <w:num w:numId="21" w16cid:durableId="1495145720">
    <w:abstractNumId w:val="17"/>
  </w:num>
  <w:num w:numId="22" w16cid:durableId="310721807">
    <w:abstractNumId w:val="23"/>
  </w:num>
  <w:num w:numId="23" w16cid:durableId="311102610">
    <w:abstractNumId w:val="12"/>
  </w:num>
  <w:num w:numId="24" w16cid:durableId="2137674363">
    <w:abstractNumId w:val="33"/>
  </w:num>
  <w:num w:numId="25" w16cid:durableId="72901106">
    <w:abstractNumId w:val="34"/>
  </w:num>
  <w:num w:numId="26" w16cid:durableId="1155605591">
    <w:abstractNumId w:val="26"/>
  </w:num>
  <w:num w:numId="27" w16cid:durableId="366760843">
    <w:abstractNumId w:val="29"/>
  </w:num>
  <w:num w:numId="28" w16cid:durableId="1055159612">
    <w:abstractNumId w:val="18"/>
  </w:num>
  <w:num w:numId="29" w16cid:durableId="96609795">
    <w:abstractNumId w:val="8"/>
  </w:num>
  <w:num w:numId="30" w16cid:durableId="842209873">
    <w:abstractNumId w:val="10"/>
  </w:num>
  <w:num w:numId="31" w16cid:durableId="143815770">
    <w:abstractNumId w:val="22"/>
  </w:num>
  <w:num w:numId="32" w16cid:durableId="835463961">
    <w:abstractNumId w:val="5"/>
  </w:num>
  <w:num w:numId="33" w16cid:durableId="1103112024">
    <w:abstractNumId w:val="3"/>
  </w:num>
  <w:num w:numId="34" w16cid:durableId="405496654">
    <w:abstractNumId w:val="32"/>
  </w:num>
  <w:num w:numId="35" w16cid:durableId="481044756">
    <w:abstractNumId w:val="25"/>
  </w:num>
  <w:num w:numId="36" w16cid:durableId="161251690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7387B"/>
    <w:rsid w:val="000742F4"/>
    <w:rsid w:val="0009774B"/>
    <w:rsid w:val="000A1F5C"/>
    <w:rsid w:val="000A290A"/>
    <w:rsid w:val="000A7AE2"/>
    <w:rsid w:val="000C1261"/>
    <w:rsid w:val="000C2391"/>
    <w:rsid w:val="000C2725"/>
    <w:rsid w:val="000D2E62"/>
    <w:rsid w:val="000D31DF"/>
    <w:rsid w:val="000E04BF"/>
    <w:rsid w:val="000E3174"/>
    <w:rsid w:val="000F2A71"/>
    <w:rsid w:val="00102498"/>
    <w:rsid w:val="00104A9F"/>
    <w:rsid w:val="00105CA8"/>
    <w:rsid w:val="00132D33"/>
    <w:rsid w:val="001456D0"/>
    <w:rsid w:val="00150AF2"/>
    <w:rsid w:val="00177727"/>
    <w:rsid w:val="00180E3D"/>
    <w:rsid w:val="001848AC"/>
    <w:rsid w:val="00190B88"/>
    <w:rsid w:val="001A2885"/>
    <w:rsid w:val="001B10CF"/>
    <w:rsid w:val="001C3F0A"/>
    <w:rsid w:val="001D06E9"/>
    <w:rsid w:val="001D3FCC"/>
    <w:rsid w:val="001D5446"/>
    <w:rsid w:val="001D7A20"/>
    <w:rsid w:val="001F2B4A"/>
    <w:rsid w:val="001F3B7D"/>
    <w:rsid w:val="00216572"/>
    <w:rsid w:val="00223B7A"/>
    <w:rsid w:val="00227843"/>
    <w:rsid w:val="00237BD2"/>
    <w:rsid w:val="002409F7"/>
    <w:rsid w:val="00260CED"/>
    <w:rsid w:val="002662F3"/>
    <w:rsid w:val="0027252F"/>
    <w:rsid w:val="00273435"/>
    <w:rsid w:val="00280F63"/>
    <w:rsid w:val="0028631C"/>
    <w:rsid w:val="00290F6E"/>
    <w:rsid w:val="00292946"/>
    <w:rsid w:val="00294B38"/>
    <w:rsid w:val="002A3482"/>
    <w:rsid w:val="002B3B6F"/>
    <w:rsid w:val="002B5001"/>
    <w:rsid w:val="002B65A5"/>
    <w:rsid w:val="002D1BCD"/>
    <w:rsid w:val="002D3B9B"/>
    <w:rsid w:val="002E5D71"/>
    <w:rsid w:val="002F27FD"/>
    <w:rsid w:val="002F3B4C"/>
    <w:rsid w:val="0030586C"/>
    <w:rsid w:val="003132AB"/>
    <w:rsid w:val="00333FB7"/>
    <w:rsid w:val="003358DF"/>
    <w:rsid w:val="00346C2B"/>
    <w:rsid w:val="00350424"/>
    <w:rsid w:val="003568DE"/>
    <w:rsid w:val="003648EB"/>
    <w:rsid w:val="0036601E"/>
    <w:rsid w:val="00373678"/>
    <w:rsid w:val="003857AC"/>
    <w:rsid w:val="003977BE"/>
    <w:rsid w:val="003A6FCD"/>
    <w:rsid w:val="003B0582"/>
    <w:rsid w:val="003B1D54"/>
    <w:rsid w:val="003B2C71"/>
    <w:rsid w:val="003C7741"/>
    <w:rsid w:val="003D0706"/>
    <w:rsid w:val="003D5C2E"/>
    <w:rsid w:val="003E0C38"/>
    <w:rsid w:val="003E0D7C"/>
    <w:rsid w:val="003E1BDE"/>
    <w:rsid w:val="003F08D0"/>
    <w:rsid w:val="003F1F09"/>
    <w:rsid w:val="003F625D"/>
    <w:rsid w:val="003F71AC"/>
    <w:rsid w:val="00406982"/>
    <w:rsid w:val="004161AD"/>
    <w:rsid w:val="004309AE"/>
    <w:rsid w:val="00434409"/>
    <w:rsid w:val="00435202"/>
    <w:rsid w:val="00443B1C"/>
    <w:rsid w:val="00456883"/>
    <w:rsid w:val="0046493A"/>
    <w:rsid w:val="0047269A"/>
    <w:rsid w:val="004A1EC5"/>
    <w:rsid w:val="004A2DDD"/>
    <w:rsid w:val="004B39AB"/>
    <w:rsid w:val="004C216D"/>
    <w:rsid w:val="004C55A1"/>
    <w:rsid w:val="004E6DF4"/>
    <w:rsid w:val="004F6F29"/>
    <w:rsid w:val="004F7531"/>
    <w:rsid w:val="00506D74"/>
    <w:rsid w:val="00516528"/>
    <w:rsid w:val="00523817"/>
    <w:rsid w:val="0053503D"/>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DE"/>
    <w:rsid w:val="00651562"/>
    <w:rsid w:val="00663F4F"/>
    <w:rsid w:val="00664507"/>
    <w:rsid w:val="00683773"/>
    <w:rsid w:val="0069706B"/>
    <w:rsid w:val="006A565C"/>
    <w:rsid w:val="006B5D4A"/>
    <w:rsid w:val="006C19B1"/>
    <w:rsid w:val="006D15E8"/>
    <w:rsid w:val="006E3FD5"/>
    <w:rsid w:val="006E5231"/>
    <w:rsid w:val="006F7241"/>
    <w:rsid w:val="00703BE3"/>
    <w:rsid w:val="00707C7F"/>
    <w:rsid w:val="0072082F"/>
    <w:rsid w:val="00722F41"/>
    <w:rsid w:val="0072305D"/>
    <w:rsid w:val="0074643E"/>
    <w:rsid w:val="00746DA0"/>
    <w:rsid w:val="007545B4"/>
    <w:rsid w:val="00757547"/>
    <w:rsid w:val="0076164E"/>
    <w:rsid w:val="00796203"/>
    <w:rsid w:val="007A5177"/>
    <w:rsid w:val="007C3EDA"/>
    <w:rsid w:val="007D1EE7"/>
    <w:rsid w:val="007D618C"/>
    <w:rsid w:val="007D734B"/>
    <w:rsid w:val="007E20B2"/>
    <w:rsid w:val="007E4ED8"/>
    <w:rsid w:val="007F7635"/>
    <w:rsid w:val="0080004A"/>
    <w:rsid w:val="008016F9"/>
    <w:rsid w:val="00806490"/>
    <w:rsid w:val="00824E91"/>
    <w:rsid w:val="00825539"/>
    <w:rsid w:val="00830BC1"/>
    <w:rsid w:val="00833414"/>
    <w:rsid w:val="0085603E"/>
    <w:rsid w:val="008570DE"/>
    <w:rsid w:val="00865650"/>
    <w:rsid w:val="0087141B"/>
    <w:rsid w:val="008844F1"/>
    <w:rsid w:val="008B0015"/>
    <w:rsid w:val="008B4847"/>
    <w:rsid w:val="008C5BBA"/>
    <w:rsid w:val="008E1417"/>
    <w:rsid w:val="008E771E"/>
    <w:rsid w:val="00910B42"/>
    <w:rsid w:val="00922E48"/>
    <w:rsid w:val="00932822"/>
    <w:rsid w:val="00970CED"/>
    <w:rsid w:val="00980444"/>
    <w:rsid w:val="0099678C"/>
    <w:rsid w:val="009A30EC"/>
    <w:rsid w:val="009D01A6"/>
    <w:rsid w:val="009D7843"/>
    <w:rsid w:val="009D7E40"/>
    <w:rsid w:val="009E0608"/>
    <w:rsid w:val="00A13461"/>
    <w:rsid w:val="00A371CA"/>
    <w:rsid w:val="00A374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E5901"/>
    <w:rsid w:val="00AF0D3F"/>
    <w:rsid w:val="00AF196D"/>
    <w:rsid w:val="00B03C42"/>
    <w:rsid w:val="00B150B7"/>
    <w:rsid w:val="00B30E4E"/>
    <w:rsid w:val="00B53CDC"/>
    <w:rsid w:val="00B66851"/>
    <w:rsid w:val="00BA37C1"/>
    <w:rsid w:val="00BA3C16"/>
    <w:rsid w:val="00BD0C7C"/>
    <w:rsid w:val="00BE34C9"/>
    <w:rsid w:val="00BF46A6"/>
    <w:rsid w:val="00BF4793"/>
    <w:rsid w:val="00BF6697"/>
    <w:rsid w:val="00C009ED"/>
    <w:rsid w:val="00C0265D"/>
    <w:rsid w:val="00C0667A"/>
    <w:rsid w:val="00C122F7"/>
    <w:rsid w:val="00C1525E"/>
    <w:rsid w:val="00C173EC"/>
    <w:rsid w:val="00C2109F"/>
    <w:rsid w:val="00C325CB"/>
    <w:rsid w:val="00C4433C"/>
    <w:rsid w:val="00C53FCA"/>
    <w:rsid w:val="00C82F11"/>
    <w:rsid w:val="00C86C7F"/>
    <w:rsid w:val="00C92C97"/>
    <w:rsid w:val="00C92F79"/>
    <w:rsid w:val="00CA1FF7"/>
    <w:rsid w:val="00CA56D7"/>
    <w:rsid w:val="00CA6B22"/>
    <w:rsid w:val="00CB4CE0"/>
    <w:rsid w:val="00CC5025"/>
    <w:rsid w:val="00CE15D8"/>
    <w:rsid w:val="00CE2ADF"/>
    <w:rsid w:val="00CE7079"/>
    <w:rsid w:val="00CF5969"/>
    <w:rsid w:val="00D14635"/>
    <w:rsid w:val="00D15005"/>
    <w:rsid w:val="00D243D7"/>
    <w:rsid w:val="00D26205"/>
    <w:rsid w:val="00D400C4"/>
    <w:rsid w:val="00D444F9"/>
    <w:rsid w:val="00D64F0C"/>
    <w:rsid w:val="00D6685E"/>
    <w:rsid w:val="00D73321"/>
    <w:rsid w:val="00DB4241"/>
    <w:rsid w:val="00DC6A6C"/>
    <w:rsid w:val="00DD05A0"/>
    <w:rsid w:val="00DD531F"/>
    <w:rsid w:val="00DD6459"/>
    <w:rsid w:val="00DE2231"/>
    <w:rsid w:val="00DE6CFB"/>
    <w:rsid w:val="00DF5C47"/>
    <w:rsid w:val="00E027E3"/>
    <w:rsid w:val="00E12642"/>
    <w:rsid w:val="00E17EBC"/>
    <w:rsid w:val="00E2265B"/>
    <w:rsid w:val="00E246D9"/>
    <w:rsid w:val="00E36871"/>
    <w:rsid w:val="00E5287F"/>
    <w:rsid w:val="00E539C5"/>
    <w:rsid w:val="00E73CF9"/>
    <w:rsid w:val="00E76857"/>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906F0"/>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620fc26-8289-4c02-81ef-e580eda00c72" ContentTypeId="0x010100E68AC66A58BC4C44B3D7121FA3D3105B04" PreviousValue="false"/>
</file>

<file path=customXml/item4.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4.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6223</Characters>
  <Application>Microsoft Office Word</Application>
  <DocSecurity>0</DocSecurity>
  <Lines>183</Lines>
  <Paragraphs>72</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Yasir Khan</cp:lastModifiedBy>
  <cp:revision>4</cp:revision>
  <cp:lastPrinted>2016-10-19T16:37:00Z</cp:lastPrinted>
  <dcterms:created xsi:type="dcterms:W3CDTF">2023-03-09T14:38:00Z</dcterms:created>
  <dcterms:modified xsi:type="dcterms:W3CDTF">2023-03-09T14:40:00Z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